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23" w:rsidRPr="001B7150" w:rsidRDefault="00587623" w:rsidP="00587623">
      <w:pPr>
        <w:jc w:val="center"/>
        <w:rPr>
          <w:rFonts w:ascii="Arial" w:hAnsi="Arial" w:cs="Arial"/>
          <w:b/>
          <w:sz w:val="24"/>
          <w:szCs w:val="23"/>
        </w:rPr>
      </w:pPr>
      <w:r w:rsidRPr="001B7150">
        <w:rPr>
          <w:rFonts w:ascii="Arial" w:hAnsi="Arial" w:cs="Arial"/>
          <w:b/>
          <w:sz w:val="24"/>
          <w:szCs w:val="23"/>
        </w:rPr>
        <w:t>ТАРИФЫ ТБО</w:t>
      </w:r>
    </w:p>
    <w:p w:rsidR="001B7150" w:rsidRDefault="001B7150" w:rsidP="001B7150">
      <w:pPr>
        <w:ind w:right="-108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8"/>
      </w:tblGrid>
      <w:tr w:rsidR="001B7150" w:rsidTr="001B7150">
        <w:trPr>
          <w:trHeight w:val="507"/>
        </w:trPr>
        <w:tc>
          <w:tcPr>
            <w:tcW w:w="10988" w:type="dxa"/>
            <w:shd w:val="clear" w:color="auto" w:fill="F2F2F2" w:themeFill="background1" w:themeFillShade="F2"/>
            <w:vAlign w:val="center"/>
          </w:tcPr>
          <w:p w:rsidR="001B7150" w:rsidRPr="001B7150" w:rsidRDefault="00992CE3" w:rsidP="001B7150">
            <w:pPr>
              <w:tabs>
                <w:tab w:val="left" w:pos="465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01.07.2016</w:t>
            </w:r>
            <w:r w:rsidR="001B7150" w:rsidRPr="001B7150">
              <w:rPr>
                <w:b/>
                <w:sz w:val="24"/>
                <w:szCs w:val="24"/>
              </w:rPr>
              <w:t xml:space="preserve"> – по 01.07.201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28482B" w:rsidRDefault="0028482B" w:rsidP="001B7150">
      <w:pPr>
        <w:ind w:right="-108"/>
        <w:jc w:val="right"/>
        <w:rPr>
          <w:sz w:val="24"/>
          <w:szCs w:val="24"/>
        </w:rPr>
      </w:pPr>
    </w:p>
    <w:p w:rsidR="00992CE3" w:rsidRPr="00B5038D" w:rsidRDefault="00992CE3" w:rsidP="00992CE3">
      <w:pPr>
        <w:ind w:right="-108"/>
        <w:jc w:val="right"/>
        <w:rPr>
          <w:sz w:val="24"/>
          <w:szCs w:val="24"/>
        </w:rPr>
      </w:pPr>
      <w:r w:rsidRPr="00B503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992CE3" w:rsidRPr="00B5038D" w:rsidRDefault="00992CE3" w:rsidP="00992C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5407FA">
        <w:rPr>
          <w:sz w:val="24"/>
          <w:szCs w:val="24"/>
        </w:rPr>
        <w:t>У</w:t>
      </w:r>
      <w:r w:rsidRPr="00B5038D">
        <w:rPr>
          <w:sz w:val="24"/>
          <w:szCs w:val="24"/>
        </w:rPr>
        <w:t>правления</w:t>
      </w:r>
    </w:p>
    <w:p w:rsidR="00992CE3" w:rsidRPr="00B5038D" w:rsidRDefault="00992CE3" w:rsidP="00992CE3">
      <w:pPr>
        <w:jc w:val="right"/>
        <w:rPr>
          <w:sz w:val="24"/>
          <w:szCs w:val="24"/>
        </w:rPr>
      </w:pPr>
      <w:r w:rsidRPr="00B5038D">
        <w:rPr>
          <w:sz w:val="24"/>
          <w:szCs w:val="24"/>
        </w:rPr>
        <w:t xml:space="preserve">  регулирования цен и тарифов</w:t>
      </w:r>
    </w:p>
    <w:p w:rsidR="00992CE3" w:rsidRDefault="00992CE3" w:rsidP="00992CE3">
      <w:pPr>
        <w:jc w:val="right"/>
        <w:rPr>
          <w:sz w:val="24"/>
          <w:szCs w:val="24"/>
        </w:rPr>
      </w:pPr>
      <w:r w:rsidRPr="00A440A2">
        <w:rPr>
          <w:sz w:val="24"/>
          <w:szCs w:val="24"/>
        </w:rPr>
        <w:t>от</w:t>
      </w:r>
      <w:r w:rsidRPr="00A440A2">
        <w:rPr>
          <w:sz w:val="24"/>
          <w:szCs w:val="24"/>
          <w:u w:val="single"/>
        </w:rPr>
        <w:t xml:space="preserve">  24.06.2016 г. № 10</w:t>
      </w:r>
    </w:p>
    <w:p w:rsidR="00992CE3" w:rsidRDefault="00992CE3" w:rsidP="00992CE3">
      <w:pPr>
        <w:jc w:val="both"/>
        <w:rPr>
          <w:sz w:val="24"/>
          <w:szCs w:val="24"/>
        </w:rPr>
      </w:pPr>
    </w:p>
    <w:p w:rsidR="00992CE3" w:rsidRDefault="00992CE3" w:rsidP="00992CE3">
      <w:pPr>
        <w:jc w:val="both"/>
        <w:rPr>
          <w:sz w:val="24"/>
          <w:szCs w:val="24"/>
        </w:rPr>
      </w:pPr>
    </w:p>
    <w:p w:rsidR="00992CE3" w:rsidRPr="00454791" w:rsidRDefault="00992CE3" w:rsidP="00992CE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Pr="00454791">
        <w:rPr>
          <w:bCs/>
          <w:sz w:val="24"/>
          <w:szCs w:val="24"/>
        </w:rPr>
        <w:t>Размер платы за  услуги  по  сбору и  вывозу твердых бытовых отходов</w:t>
      </w:r>
      <w:r w:rsidRPr="009111FB">
        <w:rPr>
          <w:bCs/>
          <w:szCs w:val="28"/>
        </w:rPr>
        <w:t xml:space="preserve"> </w:t>
      </w:r>
      <w:r>
        <w:rPr>
          <w:bCs/>
          <w:szCs w:val="28"/>
        </w:rPr>
        <w:t xml:space="preserve">и </w:t>
      </w:r>
      <w:r w:rsidRPr="009111FB">
        <w:rPr>
          <w:bCs/>
          <w:sz w:val="24"/>
          <w:szCs w:val="24"/>
        </w:rPr>
        <w:t xml:space="preserve">крупного габаритного мусора, входящих в состав услуг по содержанию общего имущества  многоквартирного дома </w:t>
      </w:r>
      <w:r w:rsidRPr="009111FB">
        <w:rPr>
          <w:sz w:val="24"/>
          <w:szCs w:val="24"/>
        </w:rPr>
        <w:t xml:space="preserve">для </w:t>
      </w:r>
      <w:r w:rsidRPr="00454791">
        <w:rPr>
          <w:sz w:val="24"/>
          <w:szCs w:val="24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6B3F22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«Город Чита»</w:t>
      </w:r>
      <w:r w:rsidRPr="00454791">
        <w:rPr>
          <w:sz w:val="24"/>
          <w:szCs w:val="24"/>
        </w:rPr>
        <w:t>, для собственников и пользователей  помещений, которые не приняли решения о выборе способа управления</w:t>
      </w:r>
      <w:proofErr w:type="gramEnd"/>
      <w:r w:rsidRPr="00454791">
        <w:rPr>
          <w:sz w:val="24"/>
          <w:szCs w:val="24"/>
        </w:rPr>
        <w:t xml:space="preserve"> многоквартирным домом и если  собственники помещений на общем собрании не приняли решения об установлении размера платы</w:t>
      </w:r>
      <w:r>
        <w:rPr>
          <w:sz w:val="24"/>
          <w:szCs w:val="24"/>
        </w:rPr>
        <w:t>.</w:t>
      </w:r>
    </w:p>
    <w:p w:rsidR="00992CE3" w:rsidRDefault="00992CE3" w:rsidP="00992CE3">
      <w:pPr>
        <w:jc w:val="both"/>
        <w:rPr>
          <w:sz w:val="24"/>
          <w:szCs w:val="24"/>
        </w:rPr>
      </w:pPr>
    </w:p>
    <w:p w:rsidR="00992CE3" w:rsidRDefault="00992CE3" w:rsidP="00992CE3">
      <w:pPr>
        <w:jc w:val="both"/>
        <w:rPr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8"/>
        <w:gridCol w:w="2801"/>
      </w:tblGrid>
      <w:tr w:rsidR="00992CE3" w:rsidRPr="00D02B15" w:rsidTr="000A412A">
        <w:trPr>
          <w:jc w:val="center"/>
        </w:trPr>
        <w:tc>
          <w:tcPr>
            <w:tcW w:w="7478" w:type="dxa"/>
          </w:tcPr>
          <w:p w:rsidR="00992CE3" w:rsidRPr="009111FB" w:rsidRDefault="00992CE3" w:rsidP="000A412A">
            <w:pPr>
              <w:jc w:val="center"/>
              <w:rPr>
                <w:color w:val="000000"/>
                <w:sz w:val="24"/>
                <w:szCs w:val="24"/>
              </w:rPr>
            </w:pPr>
            <w:r w:rsidRPr="009111FB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801" w:type="dxa"/>
          </w:tcPr>
          <w:p w:rsidR="00992CE3" w:rsidRPr="009111FB" w:rsidRDefault="00992CE3" w:rsidP="000A412A">
            <w:pPr>
              <w:jc w:val="center"/>
              <w:rPr>
                <w:color w:val="000000"/>
                <w:sz w:val="24"/>
                <w:szCs w:val="24"/>
              </w:rPr>
            </w:pPr>
            <w:r w:rsidRPr="009111FB">
              <w:rPr>
                <w:color w:val="000000"/>
                <w:sz w:val="24"/>
                <w:szCs w:val="24"/>
              </w:rPr>
              <w:t>Размер платы в месяц, руб./ чел.*</w:t>
            </w:r>
          </w:p>
        </w:tc>
      </w:tr>
      <w:tr w:rsidR="00992CE3" w:rsidRPr="00D02B15" w:rsidTr="000A412A">
        <w:trPr>
          <w:trHeight w:val="389"/>
          <w:jc w:val="center"/>
        </w:trPr>
        <w:tc>
          <w:tcPr>
            <w:tcW w:w="7478" w:type="dxa"/>
          </w:tcPr>
          <w:p w:rsidR="00992CE3" w:rsidRPr="009111FB" w:rsidRDefault="00992CE3" w:rsidP="000A412A">
            <w:pPr>
              <w:shd w:val="clear" w:color="auto" w:fill="FFFFFF"/>
              <w:rPr>
                <w:sz w:val="24"/>
                <w:szCs w:val="24"/>
              </w:rPr>
            </w:pPr>
            <w:r w:rsidRPr="009111FB">
              <w:rPr>
                <w:spacing w:val="-3"/>
                <w:sz w:val="24"/>
                <w:szCs w:val="24"/>
              </w:rPr>
              <w:t>Твердые бытовые отходы в благоустроенном жилищном фонде</w:t>
            </w:r>
          </w:p>
        </w:tc>
        <w:tc>
          <w:tcPr>
            <w:tcW w:w="2801" w:type="dxa"/>
          </w:tcPr>
          <w:p w:rsidR="00992CE3" w:rsidRPr="009111FB" w:rsidRDefault="00992CE3" w:rsidP="000A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11FB">
              <w:rPr>
                <w:sz w:val="24"/>
                <w:szCs w:val="24"/>
              </w:rPr>
              <w:t>53,02</w:t>
            </w:r>
          </w:p>
        </w:tc>
      </w:tr>
      <w:tr w:rsidR="00992CE3" w:rsidRPr="00D02B15" w:rsidTr="000A412A">
        <w:trPr>
          <w:trHeight w:val="422"/>
          <w:jc w:val="center"/>
        </w:trPr>
        <w:tc>
          <w:tcPr>
            <w:tcW w:w="7478" w:type="dxa"/>
          </w:tcPr>
          <w:p w:rsidR="00992CE3" w:rsidRPr="009111FB" w:rsidRDefault="00992CE3" w:rsidP="000A412A">
            <w:pPr>
              <w:shd w:val="clear" w:color="auto" w:fill="FFFFFF"/>
              <w:rPr>
                <w:sz w:val="24"/>
                <w:szCs w:val="24"/>
              </w:rPr>
            </w:pPr>
            <w:r w:rsidRPr="009111FB">
              <w:rPr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2801" w:type="dxa"/>
          </w:tcPr>
          <w:p w:rsidR="00992CE3" w:rsidRPr="009111FB" w:rsidRDefault="00992CE3" w:rsidP="000A4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11FB">
              <w:rPr>
                <w:sz w:val="24"/>
                <w:szCs w:val="24"/>
              </w:rPr>
              <w:t>8,14</w:t>
            </w:r>
          </w:p>
        </w:tc>
      </w:tr>
    </w:tbl>
    <w:p w:rsidR="00992CE3" w:rsidRDefault="00992CE3" w:rsidP="00992CE3">
      <w:pPr>
        <w:rPr>
          <w:color w:val="000000"/>
          <w:sz w:val="24"/>
          <w:szCs w:val="24"/>
        </w:rPr>
      </w:pPr>
    </w:p>
    <w:p w:rsidR="00992CE3" w:rsidRDefault="00992CE3" w:rsidP="00992CE3">
      <w:pPr>
        <w:ind w:lef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 </w:t>
      </w:r>
      <w:r w:rsidRPr="00667FAD">
        <w:rPr>
          <w:color w:val="000000"/>
          <w:sz w:val="24"/>
          <w:szCs w:val="24"/>
        </w:rPr>
        <w:t>Размер платы  является конечным</w:t>
      </w:r>
      <w:r>
        <w:rPr>
          <w:color w:val="000000"/>
          <w:sz w:val="24"/>
          <w:szCs w:val="24"/>
        </w:rPr>
        <w:t>.</w:t>
      </w:r>
    </w:p>
    <w:p w:rsidR="00992CE3" w:rsidRDefault="00992CE3" w:rsidP="00992CE3">
      <w:pPr>
        <w:ind w:left="240"/>
        <w:rPr>
          <w:color w:val="000000"/>
          <w:sz w:val="24"/>
          <w:szCs w:val="24"/>
        </w:rPr>
      </w:pPr>
    </w:p>
    <w:p w:rsidR="00992CE3" w:rsidRPr="00536CA8" w:rsidRDefault="00992CE3" w:rsidP="00992CE3">
      <w:pPr>
        <w:ind w:firstLine="284"/>
        <w:jc w:val="both"/>
        <w:rPr>
          <w:sz w:val="24"/>
          <w:szCs w:val="24"/>
        </w:rPr>
      </w:pPr>
      <w:r w:rsidRPr="00536CA8">
        <w:rPr>
          <w:sz w:val="24"/>
          <w:szCs w:val="24"/>
        </w:rPr>
        <w:t>Примечани</w:t>
      </w:r>
      <w:r>
        <w:rPr>
          <w:sz w:val="24"/>
          <w:szCs w:val="24"/>
        </w:rPr>
        <w:t>е</w:t>
      </w:r>
      <w:r w:rsidRPr="00536CA8">
        <w:rPr>
          <w:sz w:val="24"/>
          <w:szCs w:val="24"/>
        </w:rPr>
        <w:t>:</w:t>
      </w:r>
    </w:p>
    <w:p w:rsidR="00992CE3" w:rsidRDefault="00992CE3" w:rsidP="00992CE3">
      <w:pPr>
        <w:ind w:firstLine="284"/>
        <w:jc w:val="both"/>
        <w:rPr>
          <w:szCs w:val="28"/>
        </w:rPr>
      </w:pPr>
      <w:r w:rsidRPr="00454791">
        <w:rPr>
          <w:bCs/>
          <w:sz w:val="24"/>
          <w:szCs w:val="24"/>
        </w:rPr>
        <w:t xml:space="preserve">Размер платы за  услуги  по  сбору и  вывозу твердых бытовых </w:t>
      </w:r>
      <w:r w:rsidRPr="009111FB">
        <w:rPr>
          <w:bCs/>
          <w:sz w:val="24"/>
          <w:szCs w:val="24"/>
        </w:rPr>
        <w:t>отходов и крупного габаритного мусора, входящих в состав услуг по содержанию общего имущества  многоквартирного дома</w:t>
      </w:r>
      <w:r w:rsidRPr="004547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действует до установления </w:t>
      </w:r>
      <w:r w:rsidRPr="009111FB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Pr="009111FB">
        <w:rPr>
          <w:sz w:val="24"/>
          <w:szCs w:val="24"/>
        </w:rPr>
        <w:t xml:space="preserve"> за обращение с твердыми коммунальными отходами</w:t>
      </w:r>
      <w:r>
        <w:rPr>
          <w:sz w:val="24"/>
          <w:szCs w:val="24"/>
        </w:rPr>
        <w:t xml:space="preserve">, установленной Региональной службой по тарифам и ценообразованию Забайкальского края.  </w:t>
      </w:r>
      <w:r>
        <w:rPr>
          <w:szCs w:val="28"/>
        </w:rPr>
        <w:t xml:space="preserve"> </w:t>
      </w:r>
    </w:p>
    <w:p w:rsidR="00743B31" w:rsidRDefault="00743B31" w:rsidP="00992CE3">
      <w:pPr>
        <w:ind w:firstLine="284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10988"/>
      </w:tblGrid>
      <w:tr w:rsidR="00992CE3" w:rsidTr="000A412A">
        <w:trPr>
          <w:trHeight w:val="507"/>
        </w:trPr>
        <w:tc>
          <w:tcPr>
            <w:tcW w:w="10988" w:type="dxa"/>
            <w:shd w:val="clear" w:color="auto" w:fill="F2F2F2" w:themeFill="background1" w:themeFillShade="F2"/>
            <w:vAlign w:val="center"/>
          </w:tcPr>
          <w:p w:rsidR="00992CE3" w:rsidRPr="001B7150" w:rsidRDefault="00992CE3" w:rsidP="000A412A">
            <w:pPr>
              <w:tabs>
                <w:tab w:val="left" w:pos="465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1B7150">
              <w:rPr>
                <w:b/>
                <w:sz w:val="24"/>
                <w:szCs w:val="24"/>
              </w:rPr>
              <w:lastRenderedPageBreak/>
              <w:t>С 01.07.2015 – по 01.07.2016</w:t>
            </w:r>
          </w:p>
        </w:tc>
      </w:tr>
    </w:tbl>
    <w:p w:rsidR="0028482B" w:rsidRDefault="0028482B" w:rsidP="001B7150">
      <w:pPr>
        <w:ind w:right="-108"/>
        <w:jc w:val="right"/>
        <w:rPr>
          <w:sz w:val="24"/>
          <w:szCs w:val="24"/>
        </w:rPr>
      </w:pPr>
    </w:p>
    <w:p w:rsidR="0028482B" w:rsidRDefault="0028482B" w:rsidP="001B7150">
      <w:pPr>
        <w:ind w:right="-108"/>
        <w:jc w:val="right"/>
        <w:rPr>
          <w:sz w:val="24"/>
          <w:szCs w:val="24"/>
        </w:rPr>
      </w:pPr>
    </w:p>
    <w:p w:rsidR="001B7150" w:rsidRPr="00B5038D" w:rsidRDefault="001B7150" w:rsidP="001B7150">
      <w:pPr>
        <w:ind w:right="-108"/>
        <w:jc w:val="right"/>
        <w:rPr>
          <w:sz w:val="24"/>
          <w:szCs w:val="24"/>
        </w:rPr>
      </w:pPr>
      <w:r w:rsidRPr="00B503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1B7150" w:rsidRPr="00B5038D" w:rsidRDefault="001B7150" w:rsidP="001B7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5407FA">
        <w:rPr>
          <w:sz w:val="24"/>
          <w:szCs w:val="24"/>
        </w:rPr>
        <w:t>У</w:t>
      </w:r>
      <w:r w:rsidRPr="00B5038D">
        <w:rPr>
          <w:sz w:val="24"/>
          <w:szCs w:val="24"/>
        </w:rPr>
        <w:t>правления</w:t>
      </w:r>
    </w:p>
    <w:p w:rsidR="001B7150" w:rsidRPr="00B5038D" w:rsidRDefault="001B7150" w:rsidP="001B7150">
      <w:pPr>
        <w:jc w:val="right"/>
        <w:rPr>
          <w:sz w:val="24"/>
          <w:szCs w:val="24"/>
        </w:rPr>
      </w:pPr>
      <w:r w:rsidRPr="00B5038D">
        <w:rPr>
          <w:sz w:val="24"/>
          <w:szCs w:val="24"/>
        </w:rPr>
        <w:t>регулирования цен и тарифов</w:t>
      </w:r>
    </w:p>
    <w:p w:rsidR="001B7150" w:rsidRDefault="001B7150" w:rsidP="001B7150">
      <w:pPr>
        <w:jc w:val="right"/>
        <w:rPr>
          <w:sz w:val="24"/>
          <w:szCs w:val="24"/>
        </w:rPr>
      </w:pPr>
      <w:r w:rsidRPr="009C1908">
        <w:rPr>
          <w:sz w:val="24"/>
          <w:szCs w:val="24"/>
        </w:rPr>
        <w:t>от_</w:t>
      </w:r>
      <w:r w:rsidRPr="009C1908">
        <w:rPr>
          <w:sz w:val="24"/>
          <w:szCs w:val="24"/>
          <w:u w:val="single"/>
        </w:rPr>
        <w:t>19.06.2015 г.  № 19</w:t>
      </w:r>
    </w:p>
    <w:p w:rsidR="001B7150" w:rsidRDefault="001B7150" w:rsidP="001B7150">
      <w:pPr>
        <w:jc w:val="both"/>
        <w:rPr>
          <w:sz w:val="24"/>
          <w:szCs w:val="24"/>
        </w:rPr>
      </w:pPr>
    </w:p>
    <w:p w:rsidR="001B7150" w:rsidRDefault="001B7150" w:rsidP="001B715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Pr="00454791">
        <w:rPr>
          <w:bCs/>
          <w:sz w:val="24"/>
          <w:szCs w:val="24"/>
        </w:rPr>
        <w:t xml:space="preserve">Размер платы за  услуги  по  сбору и  вывозу твердых бытовых отходов, входящих в состав услуг по содержанию общего имущества  многоквартирного дома </w:t>
      </w:r>
      <w:r w:rsidRPr="00454791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и пользователей  помещений, которые не приняли решения о выборе способа управления многоквартирным домом и если  собственники помещений на общем</w:t>
      </w:r>
      <w:proofErr w:type="gramEnd"/>
      <w:r w:rsidRPr="00454791">
        <w:rPr>
          <w:sz w:val="24"/>
          <w:szCs w:val="24"/>
        </w:rPr>
        <w:t xml:space="preserve"> </w:t>
      </w:r>
      <w:proofErr w:type="gramStart"/>
      <w:r w:rsidRPr="00454791">
        <w:rPr>
          <w:sz w:val="24"/>
          <w:szCs w:val="24"/>
        </w:rPr>
        <w:t>собрании</w:t>
      </w:r>
      <w:proofErr w:type="gramEnd"/>
      <w:r w:rsidRPr="00454791">
        <w:rPr>
          <w:sz w:val="24"/>
          <w:szCs w:val="24"/>
        </w:rPr>
        <w:t xml:space="preserve"> не приняли решения об установлении размера платы</w:t>
      </w:r>
      <w:r>
        <w:rPr>
          <w:sz w:val="24"/>
          <w:szCs w:val="24"/>
        </w:rPr>
        <w:t>.</w:t>
      </w:r>
    </w:p>
    <w:p w:rsidR="001B7150" w:rsidRDefault="001B7150" w:rsidP="001B715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801"/>
      </w:tblGrid>
      <w:tr w:rsidR="001B7150" w:rsidRPr="00D02B15" w:rsidTr="001B7150">
        <w:trPr>
          <w:jc w:val="center"/>
        </w:trPr>
        <w:tc>
          <w:tcPr>
            <w:tcW w:w="7479" w:type="dxa"/>
          </w:tcPr>
          <w:p w:rsidR="001B7150" w:rsidRPr="00D02B15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  <w:r w:rsidRPr="00D02B15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801" w:type="dxa"/>
          </w:tcPr>
          <w:p w:rsidR="001B7150" w:rsidRPr="00D02B15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  <w:r w:rsidRPr="00D02B15">
              <w:rPr>
                <w:color w:val="000000"/>
                <w:sz w:val="24"/>
                <w:szCs w:val="24"/>
              </w:rPr>
              <w:t>Размер платы в месяц, руб./ чел.*</w:t>
            </w:r>
          </w:p>
        </w:tc>
      </w:tr>
      <w:tr w:rsidR="001B7150" w:rsidRPr="00D02B15" w:rsidTr="001B7150">
        <w:trPr>
          <w:jc w:val="center"/>
        </w:trPr>
        <w:tc>
          <w:tcPr>
            <w:tcW w:w="7479" w:type="dxa"/>
          </w:tcPr>
          <w:p w:rsidR="001B7150" w:rsidRDefault="001B7150" w:rsidP="001B7150">
            <w:pPr>
              <w:rPr>
                <w:color w:val="000000"/>
                <w:sz w:val="24"/>
                <w:szCs w:val="24"/>
              </w:rPr>
            </w:pPr>
          </w:p>
          <w:p w:rsidR="001B7150" w:rsidRPr="00D02B15" w:rsidRDefault="001B7150" w:rsidP="001B7150">
            <w:pPr>
              <w:rPr>
                <w:color w:val="000000"/>
                <w:sz w:val="24"/>
                <w:szCs w:val="24"/>
              </w:rPr>
            </w:pPr>
            <w:r w:rsidRPr="00D02B15">
              <w:rPr>
                <w:color w:val="000000"/>
                <w:sz w:val="24"/>
                <w:szCs w:val="24"/>
              </w:rPr>
              <w:t>Твердые бытовые отходы в</w:t>
            </w:r>
            <w:r>
              <w:rPr>
                <w:color w:val="000000"/>
                <w:sz w:val="24"/>
                <w:szCs w:val="24"/>
              </w:rPr>
              <w:t xml:space="preserve"> благоустроенном жилищном фонде</w:t>
            </w:r>
          </w:p>
          <w:p w:rsidR="001B7150" w:rsidRPr="00D02B15" w:rsidRDefault="001B7150" w:rsidP="001B71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1B7150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7150" w:rsidRPr="00D02B15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D02B15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1B7150" w:rsidRPr="00D02B15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7150" w:rsidRDefault="001B7150" w:rsidP="001B7150">
      <w:pPr>
        <w:ind w:left="240"/>
        <w:rPr>
          <w:color w:val="000000"/>
          <w:sz w:val="24"/>
          <w:szCs w:val="24"/>
        </w:rPr>
      </w:pPr>
    </w:p>
    <w:p w:rsidR="001B7150" w:rsidRDefault="001B7150" w:rsidP="001B7150">
      <w:pPr>
        <w:ind w:lef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 </w:t>
      </w:r>
      <w:r w:rsidRPr="00667FAD">
        <w:rPr>
          <w:color w:val="000000"/>
          <w:sz w:val="24"/>
          <w:szCs w:val="24"/>
        </w:rPr>
        <w:t>Размер платы  является конечным</w:t>
      </w:r>
    </w:p>
    <w:p w:rsidR="001B7150" w:rsidRDefault="001B7150" w:rsidP="001B7150">
      <w:pPr>
        <w:ind w:left="240"/>
        <w:rPr>
          <w:color w:val="000000"/>
          <w:sz w:val="24"/>
          <w:szCs w:val="24"/>
        </w:rPr>
      </w:pPr>
    </w:p>
    <w:p w:rsidR="00587623" w:rsidRDefault="00587623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743B31" w:rsidRDefault="00743B31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tbl>
      <w:tblPr>
        <w:tblStyle w:val="a6"/>
        <w:tblpPr w:leftFromText="180" w:rightFromText="180" w:vertAnchor="text" w:horzAnchor="margin" w:tblpY="-35"/>
        <w:tblW w:w="0" w:type="auto"/>
        <w:tblLook w:val="04A0"/>
      </w:tblPr>
      <w:tblGrid>
        <w:gridCol w:w="10988"/>
      </w:tblGrid>
      <w:tr w:rsidR="0028482B" w:rsidTr="0028482B">
        <w:trPr>
          <w:trHeight w:val="510"/>
        </w:trPr>
        <w:tc>
          <w:tcPr>
            <w:tcW w:w="10988" w:type="dxa"/>
            <w:shd w:val="clear" w:color="auto" w:fill="F2F2F2" w:themeFill="background1" w:themeFillShade="F2"/>
            <w:vAlign w:val="center"/>
          </w:tcPr>
          <w:p w:rsidR="0028482B" w:rsidRPr="0028482B" w:rsidRDefault="0028482B" w:rsidP="0028482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482B">
              <w:rPr>
                <w:rFonts w:ascii="Arial" w:hAnsi="Arial" w:cs="Arial"/>
                <w:b/>
                <w:sz w:val="23"/>
                <w:szCs w:val="23"/>
              </w:rPr>
              <w:lastRenderedPageBreak/>
              <w:t>с 01.07.2014 - по 01.07.2015</w:t>
            </w:r>
          </w:p>
        </w:tc>
      </w:tr>
    </w:tbl>
    <w:p w:rsidR="001B7150" w:rsidRDefault="001B7150" w:rsidP="001B7150">
      <w:pPr>
        <w:ind w:right="-108"/>
        <w:jc w:val="right"/>
        <w:rPr>
          <w:sz w:val="24"/>
          <w:szCs w:val="24"/>
        </w:rPr>
      </w:pPr>
    </w:p>
    <w:p w:rsidR="001B7150" w:rsidRPr="001B7150" w:rsidRDefault="001B7150" w:rsidP="001B7150">
      <w:pPr>
        <w:ind w:right="-108"/>
        <w:jc w:val="right"/>
        <w:rPr>
          <w:szCs w:val="24"/>
        </w:rPr>
      </w:pPr>
      <w:r w:rsidRPr="001B7150">
        <w:rPr>
          <w:szCs w:val="24"/>
        </w:rPr>
        <w:t>ПРИЛОЖЕНИЕ  3</w:t>
      </w:r>
    </w:p>
    <w:p w:rsidR="001B7150" w:rsidRPr="001B7150" w:rsidRDefault="001B7150" w:rsidP="001B7150">
      <w:pPr>
        <w:jc w:val="right"/>
        <w:rPr>
          <w:szCs w:val="24"/>
        </w:rPr>
      </w:pPr>
      <w:r w:rsidRPr="001B7150">
        <w:rPr>
          <w:szCs w:val="24"/>
        </w:rPr>
        <w:t>к постановлению Управления</w:t>
      </w:r>
    </w:p>
    <w:p w:rsidR="001B7150" w:rsidRPr="001B7150" w:rsidRDefault="001B7150" w:rsidP="001B7150">
      <w:pPr>
        <w:jc w:val="right"/>
        <w:rPr>
          <w:szCs w:val="24"/>
        </w:rPr>
      </w:pPr>
      <w:r w:rsidRPr="001B7150">
        <w:rPr>
          <w:szCs w:val="24"/>
        </w:rPr>
        <w:t xml:space="preserve">  регулирования цен и тарифов</w:t>
      </w:r>
    </w:p>
    <w:p w:rsidR="001B7150" w:rsidRPr="001B7150" w:rsidRDefault="001B7150" w:rsidP="001B7150">
      <w:pPr>
        <w:jc w:val="right"/>
        <w:rPr>
          <w:szCs w:val="24"/>
        </w:rPr>
      </w:pPr>
      <w:r w:rsidRPr="001B7150">
        <w:rPr>
          <w:szCs w:val="24"/>
        </w:rPr>
        <w:t>от</w:t>
      </w:r>
      <w:r w:rsidRPr="001B7150">
        <w:rPr>
          <w:szCs w:val="24"/>
          <w:u w:val="single"/>
        </w:rPr>
        <w:t xml:space="preserve"> 20.06.2014 г. № 24</w:t>
      </w:r>
    </w:p>
    <w:p w:rsidR="001B7150" w:rsidRDefault="001B7150" w:rsidP="001B7150">
      <w:pPr>
        <w:jc w:val="both"/>
        <w:rPr>
          <w:sz w:val="24"/>
          <w:szCs w:val="24"/>
        </w:rPr>
      </w:pPr>
    </w:p>
    <w:p w:rsidR="001B7150" w:rsidRDefault="001B7150" w:rsidP="001B715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Pr="00454791">
        <w:rPr>
          <w:bCs/>
          <w:sz w:val="24"/>
          <w:szCs w:val="24"/>
        </w:rPr>
        <w:t xml:space="preserve">Размер платы за  услуги  по  сбору и  вывозу твердых бытовых отходов, входящих в состав услуг по содержанию общего имущества  многоквартирного дома </w:t>
      </w:r>
      <w:r w:rsidRPr="00454791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и пользователей  помещений, которые не приняли решения о выборе способа управления многоквартирным домом и если  собственники помещений на общем</w:t>
      </w:r>
      <w:proofErr w:type="gramEnd"/>
      <w:r w:rsidRPr="00454791">
        <w:rPr>
          <w:sz w:val="24"/>
          <w:szCs w:val="24"/>
        </w:rPr>
        <w:t xml:space="preserve"> </w:t>
      </w:r>
      <w:proofErr w:type="gramStart"/>
      <w:r w:rsidRPr="00454791">
        <w:rPr>
          <w:sz w:val="24"/>
          <w:szCs w:val="24"/>
        </w:rPr>
        <w:t>собрании</w:t>
      </w:r>
      <w:proofErr w:type="gramEnd"/>
      <w:r w:rsidRPr="00454791">
        <w:rPr>
          <w:sz w:val="24"/>
          <w:szCs w:val="24"/>
        </w:rPr>
        <w:t xml:space="preserve"> не приняли решения об установлении размера платы</w:t>
      </w:r>
    </w:p>
    <w:p w:rsidR="001B7150" w:rsidRDefault="001B7150" w:rsidP="001B715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801"/>
      </w:tblGrid>
      <w:tr w:rsidR="0028482B" w:rsidRPr="00D02B15" w:rsidTr="001B7150">
        <w:trPr>
          <w:trHeight w:val="630"/>
          <w:jc w:val="center"/>
        </w:trPr>
        <w:tc>
          <w:tcPr>
            <w:tcW w:w="7479" w:type="dxa"/>
          </w:tcPr>
          <w:p w:rsidR="001B7150" w:rsidRPr="00D02B15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  <w:r w:rsidRPr="00D02B15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801" w:type="dxa"/>
          </w:tcPr>
          <w:p w:rsidR="001B7150" w:rsidRPr="00D02B15" w:rsidRDefault="001B7150" w:rsidP="001B7150">
            <w:pPr>
              <w:jc w:val="center"/>
              <w:rPr>
                <w:color w:val="000000"/>
                <w:sz w:val="24"/>
                <w:szCs w:val="24"/>
              </w:rPr>
            </w:pPr>
            <w:r w:rsidRPr="00D02B15">
              <w:rPr>
                <w:color w:val="000000"/>
                <w:sz w:val="24"/>
                <w:szCs w:val="24"/>
              </w:rPr>
              <w:t>Размер платы в месяц, руб./ чел.*</w:t>
            </w:r>
          </w:p>
        </w:tc>
      </w:tr>
      <w:tr w:rsidR="0028482B" w:rsidRPr="00D02B15" w:rsidTr="001B7150">
        <w:trPr>
          <w:jc w:val="center"/>
        </w:trPr>
        <w:tc>
          <w:tcPr>
            <w:tcW w:w="7479" w:type="dxa"/>
          </w:tcPr>
          <w:p w:rsidR="001B7150" w:rsidRPr="00D02B15" w:rsidRDefault="001B7150" w:rsidP="001B7150">
            <w:pPr>
              <w:rPr>
                <w:color w:val="000000"/>
                <w:sz w:val="24"/>
                <w:szCs w:val="24"/>
              </w:rPr>
            </w:pPr>
            <w:r w:rsidRPr="00D02B15">
              <w:rPr>
                <w:color w:val="000000"/>
                <w:sz w:val="24"/>
                <w:szCs w:val="24"/>
              </w:rPr>
              <w:t>Твердые бытовые отходы в</w:t>
            </w:r>
            <w:r>
              <w:rPr>
                <w:color w:val="000000"/>
                <w:sz w:val="24"/>
                <w:szCs w:val="24"/>
              </w:rPr>
              <w:t xml:space="preserve"> благоустроенном жилищном фонде</w:t>
            </w:r>
          </w:p>
        </w:tc>
        <w:tc>
          <w:tcPr>
            <w:tcW w:w="2801" w:type="dxa"/>
          </w:tcPr>
          <w:p w:rsidR="001B7150" w:rsidRPr="00D02B15" w:rsidRDefault="001B7150" w:rsidP="001B71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D02B15">
              <w:rPr>
                <w:color w:val="000000"/>
                <w:sz w:val="24"/>
                <w:szCs w:val="24"/>
              </w:rPr>
              <w:t>49,58</w:t>
            </w:r>
          </w:p>
        </w:tc>
      </w:tr>
    </w:tbl>
    <w:p w:rsidR="001B7150" w:rsidRDefault="001B7150" w:rsidP="001B71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*   </w:t>
      </w:r>
      <w:r w:rsidRPr="00667FAD">
        <w:rPr>
          <w:color w:val="000000"/>
          <w:sz w:val="24"/>
          <w:szCs w:val="24"/>
        </w:rPr>
        <w:t>Размер платы  является конечным</w:t>
      </w:r>
    </w:p>
    <w:p w:rsidR="00587623" w:rsidRDefault="00587623" w:rsidP="00587623">
      <w:pPr>
        <w:jc w:val="center"/>
        <w:rPr>
          <w:rStyle w:val="a3"/>
          <w:bCs/>
          <w:color w:val="000000" w:themeColor="text1"/>
          <w:sz w:val="24"/>
          <w:szCs w:val="24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tbl>
      <w:tblPr>
        <w:tblStyle w:val="a6"/>
        <w:tblpPr w:leftFromText="180" w:rightFromText="180" w:vertAnchor="text" w:horzAnchor="margin" w:tblpY="-5"/>
        <w:tblW w:w="0" w:type="auto"/>
        <w:tblLook w:val="04A0"/>
      </w:tblPr>
      <w:tblGrid>
        <w:gridCol w:w="10988"/>
      </w:tblGrid>
      <w:tr w:rsidR="0028482B" w:rsidTr="0028482B">
        <w:trPr>
          <w:trHeight w:val="510"/>
        </w:trPr>
        <w:tc>
          <w:tcPr>
            <w:tcW w:w="10988" w:type="dxa"/>
            <w:shd w:val="clear" w:color="auto" w:fill="F2F2F2" w:themeFill="background1" w:themeFillShade="F2"/>
            <w:vAlign w:val="center"/>
          </w:tcPr>
          <w:p w:rsidR="0028482B" w:rsidRPr="0028482B" w:rsidRDefault="0028482B" w:rsidP="0028482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482B">
              <w:rPr>
                <w:rFonts w:ascii="Arial" w:hAnsi="Arial" w:cs="Arial"/>
                <w:b/>
                <w:sz w:val="23"/>
                <w:szCs w:val="23"/>
              </w:rPr>
              <w:lastRenderedPageBreak/>
              <w:t>с 01.07.2013 - по 01.07.2014</w:t>
            </w:r>
          </w:p>
        </w:tc>
      </w:tr>
    </w:tbl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587623" w:rsidRPr="001B7150" w:rsidRDefault="00587623" w:rsidP="0028482B">
      <w:pPr>
        <w:ind w:right="-1"/>
        <w:jc w:val="right"/>
        <w:rPr>
          <w:szCs w:val="24"/>
        </w:rPr>
      </w:pPr>
      <w:r w:rsidRPr="001B7150">
        <w:rPr>
          <w:szCs w:val="24"/>
        </w:rPr>
        <w:t>ПРИЛОЖЕНИЕ № 4</w:t>
      </w:r>
    </w:p>
    <w:p w:rsidR="00587623" w:rsidRPr="001B7150" w:rsidRDefault="001B7150" w:rsidP="001B7150">
      <w:pPr>
        <w:jc w:val="right"/>
        <w:rPr>
          <w:szCs w:val="24"/>
        </w:rPr>
      </w:pPr>
      <w:r>
        <w:rPr>
          <w:szCs w:val="24"/>
        </w:rPr>
        <w:t xml:space="preserve">    </w:t>
      </w:r>
      <w:r w:rsidR="00587623" w:rsidRPr="001B7150">
        <w:rPr>
          <w:szCs w:val="24"/>
        </w:rPr>
        <w:t>к постановлению Управления</w:t>
      </w:r>
      <w:r>
        <w:rPr>
          <w:szCs w:val="24"/>
        </w:rPr>
        <w:t xml:space="preserve"> </w:t>
      </w:r>
    </w:p>
    <w:p w:rsidR="00587623" w:rsidRPr="001B7150" w:rsidRDefault="00587623" w:rsidP="001B7150">
      <w:pPr>
        <w:jc w:val="right"/>
        <w:rPr>
          <w:szCs w:val="24"/>
        </w:rPr>
      </w:pPr>
      <w:r w:rsidRPr="001B7150">
        <w:rPr>
          <w:szCs w:val="24"/>
        </w:rPr>
        <w:t xml:space="preserve">  регулирования цен и тарифов</w:t>
      </w:r>
    </w:p>
    <w:p w:rsidR="00587623" w:rsidRPr="001B7150" w:rsidRDefault="00587623" w:rsidP="001B7150">
      <w:pPr>
        <w:tabs>
          <w:tab w:val="left" w:pos="3402"/>
        </w:tabs>
        <w:jc w:val="right"/>
        <w:rPr>
          <w:szCs w:val="24"/>
          <w:u w:val="single"/>
        </w:rPr>
      </w:pPr>
      <w:r w:rsidRPr="001B7150">
        <w:rPr>
          <w:szCs w:val="24"/>
        </w:rPr>
        <w:t xml:space="preserve">                                                                                    </w:t>
      </w:r>
      <w:r w:rsidR="001B7150" w:rsidRPr="001B7150">
        <w:rPr>
          <w:szCs w:val="24"/>
        </w:rPr>
        <w:t xml:space="preserve">  </w:t>
      </w:r>
      <w:proofErr w:type="gramStart"/>
      <w:r w:rsidRPr="001B7150">
        <w:rPr>
          <w:szCs w:val="24"/>
        </w:rPr>
        <w:t>от</w:t>
      </w:r>
      <w:r w:rsidRPr="001B7150">
        <w:rPr>
          <w:szCs w:val="24"/>
          <w:u w:val="single"/>
        </w:rPr>
        <w:t xml:space="preserve">  24.06.</w:t>
      </w:r>
      <w:r w:rsidRPr="001B7150">
        <w:rPr>
          <w:szCs w:val="24"/>
        </w:rPr>
        <w:t xml:space="preserve"> 2013 г. №</w:t>
      </w:r>
      <w:r w:rsidRPr="001B7150">
        <w:rPr>
          <w:szCs w:val="24"/>
          <w:u w:val="single"/>
        </w:rPr>
        <w:t xml:space="preserve">  14</w:t>
      </w:r>
      <w:r w:rsidR="001B7150" w:rsidRPr="001B7150">
        <w:rPr>
          <w:szCs w:val="24"/>
          <w:u w:val="single"/>
        </w:rPr>
        <w:t xml:space="preserve"> </w:t>
      </w:r>
      <w:r w:rsidRPr="001B7150">
        <w:rPr>
          <w:szCs w:val="24"/>
          <w:u w:val="single"/>
        </w:rPr>
        <w:t>(в ред. пост</w:t>
      </w:r>
      <w:r w:rsidR="001B7150" w:rsidRPr="001B7150">
        <w:rPr>
          <w:szCs w:val="24"/>
          <w:u w:val="single"/>
        </w:rPr>
        <w:t>.</w:t>
      </w:r>
      <w:proofErr w:type="gramEnd"/>
      <w:r w:rsidRPr="001B7150">
        <w:rPr>
          <w:szCs w:val="24"/>
          <w:u w:val="single"/>
        </w:rPr>
        <w:t xml:space="preserve"> </w:t>
      </w:r>
      <w:proofErr w:type="spellStart"/>
      <w:proofErr w:type="gramStart"/>
      <w:r w:rsidRPr="001B7150">
        <w:rPr>
          <w:szCs w:val="24"/>
          <w:u w:val="single"/>
        </w:rPr>
        <w:t>УРЦиТ</w:t>
      </w:r>
      <w:proofErr w:type="spellEnd"/>
      <w:r w:rsidRPr="001B7150">
        <w:rPr>
          <w:szCs w:val="24"/>
          <w:u w:val="single"/>
        </w:rPr>
        <w:t xml:space="preserve"> от 23.12.2013 г.)</w:t>
      </w:r>
      <w:proofErr w:type="gramEnd"/>
    </w:p>
    <w:p w:rsidR="00587623" w:rsidRDefault="00587623" w:rsidP="00587623">
      <w:pPr>
        <w:jc w:val="right"/>
        <w:rPr>
          <w:sz w:val="24"/>
          <w:szCs w:val="24"/>
        </w:rPr>
      </w:pPr>
    </w:p>
    <w:p w:rsidR="00587623" w:rsidRDefault="00587623" w:rsidP="001B7150">
      <w:pPr>
        <w:rPr>
          <w:sz w:val="24"/>
          <w:szCs w:val="24"/>
        </w:rPr>
      </w:pPr>
    </w:p>
    <w:p w:rsidR="00587623" w:rsidRDefault="00587623" w:rsidP="002848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tbl>
      <w:tblPr>
        <w:tblpPr w:leftFromText="180" w:rightFromText="180" w:vertAnchor="page" w:horzAnchor="margin" w:tblpXSpec="center" w:tblpY="6436"/>
        <w:tblW w:w="9513" w:type="dxa"/>
        <w:tblLook w:val="0000"/>
      </w:tblPr>
      <w:tblGrid>
        <w:gridCol w:w="5495"/>
        <w:gridCol w:w="4018"/>
      </w:tblGrid>
      <w:tr w:rsidR="0028482B" w:rsidRPr="00B5038D" w:rsidTr="0028482B">
        <w:trPr>
          <w:trHeight w:val="58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82B" w:rsidRDefault="0028482B" w:rsidP="0028482B">
            <w:pPr>
              <w:ind w:left="426" w:hanging="13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Размер платы за </w:t>
            </w:r>
            <w:r w:rsidRPr="00B5038D">
              <w:rPr>
                <w:b/>
                <w:bCs/>
                <w:sz w:val="24"/>
                <w:szCs w:val="24"/>
              </w:rPr>
              <w:t xml:space="preserve"> услуги по  вывозу и утилизации (захоронению)</w:t>
            </w:r>
          </w:p>
          <w:p w:rsidR="0028482B" w:rsidRPr="00B5038D" w:rsidRDefault="0028482B" w:rsidP="0028482B">
            <w:pPr>
              <w:ind w:left="426" w:hanging="392"/>
              <w:jc w:val="center"/>
              <w:rPr>
                <w:b/>
                <w:bCs/>
                <w:sz w:val="24"/>
                <w:szCs w:val="24"/>
              </w:rPr>
            </w:pPr>
            <w:r w:rsidRPr="00B5038D">
              <w:rPr>
                <w:b/>
                <w:bCs/>
                <w:sz w:val="24"/>
                <w:szCs w:val="24"/>
              </w:rPr>
              <w:t>твердых бытовых отходов и жидких нечистот</w:t>
            </w:r>
          </w:p>
        </w:tc>
      </w:tr>
      <w:tr w:rsidR="0028482B" w:rsidRPr="00B5038D" w:rsidTr="0028482B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2B" w:rsidRPr="00B5038D" w:rsidRDefault="0028482B" w:rsidP="0028482B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82B" w:rsidRPr="00B5038D" w:rsidRDefault="0028482B" w:rsidP="0028482B">
            <w:pPr>
              <w:ind w:left="426"/>
              <w:rPr>
                <w:rFonts w:ascii="Arial" w:hAnsi="Arial"/>
              </w:rPr>
            </w:pPr>
          </w:p>
        </w:tc>
      </w:tr>
      <w:tr w:rsidR="0028482B" w:rsidRPr="00B5038D" w:rsidTr="0028482B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2B" w:rsidRPr="00B5038D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  <w:r w:rsidRPr="00B5038D">
              <w:rPr>
                <w:sz w:val="24"/>
                <w:szCs w:val="24"/>
              </w:rPr>
              <w:t>Показатель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2B" w:rsidRPr="00B5038D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  <w:r w:rsidRPr="005407FA">
              <w:rPr>
                <w:sz w:val="24"/>
                <w:szCs w:val="24"/>
              </w:rPr>
              <w:t>Размер платы</w:t>
            </w:r>
            <w:r>
              <w:rPr>
                <w:sz w:val="24"/>
                <w:szCs w:val="24"/>
              </w:rPr>
              <w:t xml:space="preserve"> </w:t>
            </w:r>
            <w:r w:rsidRPr="00B5038D">
              <w:rPr>
                <w:sz w:val="24"/>
                <w:szCs w:val="24"/>
              </w:rPr>
              <w:t xml:space="preserve"> в месяц, руб./чел.*</w:t>
            </w:r>
          </w:p>
        </w:tc>
      </w:tr>
      <w:tr w:rsidR="0028482B" w:rsidRPr="00AD6E4F" w:rsidTr="0028482B">
        <w:trPr>
          <w:trHeight w:val="45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2B" w:rsidRDefault="0028482B" w:rsidP="0028482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Твердые бытовые отходы  в </w:t>
            </w:r>
            <w:r w:rsidRPr="00B5038D">
              <w:rPr>
                <w:sz w:val="24"/>
                <w:szCs w:val="24"/>
              </w:rPr>
              <w:t>благоустроенном жилищном фонде</w:t>
            </w:r>
            <w:r>
              <w:rPr>
                <w:sz w:val="24"/>
                <w:szCs w:val="24"/>
              </w:rPr>
              <w:t>, в том числе:</w:t>
            </w:r>
          </w:p>
          <w:p w:rsidR="0028482B" w:rsidRPr="00B5038D" w:rsidRDefault="0028482B" w:rsidP="0028482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-инвестиционная надбавка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2B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</w:p>
          <w:p w:rsidR="0028482B" w:rsidRPr="00380631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44,52</w:t>
            </w:r>
          </w:p>
          <w:p w:rsidR="0028482B" w:rsidRPr="00AD6E4F" w:rsidRDefault="0028482B" w:rsidP="0028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80631">
              <w:rPr>
                <w:sz w:val="24"/>
                <w:szCs w:val="24"/>
              </w:rPr>
              <w:t>5,65</w:t>
            </w:r>
          </w:p>
        </w:tc>
      </w:tr>
      <w:tr w:rsidR="0028482B" w:rsidRPr="00AD6E4F" w:rsidTr="0028482B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2B" w:rsidRPr="00B5038D" w:rsidRDefault="0028482B" w:rsidP="0028482B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Твердые бытовые отходы  </w:t>
            </w:r>
            <w:r w:rsidRPr="00B5038D">
              <w:rPr>
                <w:sz w:val="24"/>
                <w:szCs w:val="24"/>
              </w:rPr>
              <w:t xml:space="preserve"> в неблагоустроенном жилищном фонде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2B" w:rsidRPr="00AD6E4F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28482B" w:rsidRPr="00AD6E4F" w:rsidTr="0028482B">
        <w:trPr>
          <w:trHeight w:val="537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82B" w:rsidRPr="00B5038D" w:rsidRDefault="0028482B" w:rsidP="0028482B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Жидкие нечистоты </w:t>
            </w:r>
            <w:r w:rsidRPr="00B5038D">
              <w:rPr>
                <w:sz w:val="24"/>
                <w:szCs w:val="24"/>
              </w:rPr>
              <w:t xml:space="preserve"> в неблагоустроенном жилищном фонде</w:t>
            </w: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82B" w:rsidRPr="00AD6E4F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</w:p>
          <w:p w:rsidR="0028482B" w:rsidRPr="00AD6E4F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</w:tr>
      <w:tr w:rsidR="0028482B" w:rsidRPr="00AD6E4F" w:rsidTr="0028482B">
        <w:trPr>
          <w:trHeight w:val="537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2B" w:rsidRPr="00B5038D" w:rsidRDefault="0028482B" w:rsidP="0028482B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2B" w:rsidRPr="00AD6E4F" w:rsidRDefault="0028482B" w:rsidP="0028482B">
            <w:pPr>
              <w:ind w:left="426"/>
              <w:jc w:val="center"/>
              <w:rPr>
                <w:sz w:val="24"/>
                <w:szCs w:val="24"/>
              </w:rPr>
            </w:pPr>
          </w:p>
        </w:tc>
      </w:tr>
    </w:tbl>
    <w:p w:rsidR="00587623" w:rsidRPr="0028482B" w:rsidRDefault="0028482B" w:rsidP="0028482B">
      <w:p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587623" w:rsidRDefault="00587623" w:rsidP="00587623">
      <w:pPr>
        <w:rPr>
          <w:sz w:val="24"/>
          <w:szCs w:val="24"/>
        </w:rPr>
      </w:pPr>
    </w:p>
    <w:p w:rsidR="00587623" w:rsidRDefault="00587623" w:rsidP="00587623">
      <w:pPr>
        <w:rPr>
          <w:sz w:val="24"/>
          <w:szCs w:val="24"/>
        </w:rPr>
      </w:pPr>
    </w:p>
    <w:p w:rsidR="00587623" w:rsidRDefault="00587623" w:rsidP="00587623">
      <w:pPr>
        <w:rPr>
          <w:sz w:val="24"/>
          <w:szCs w:val="24"/>
        </w:rPr>
      </w:pPr>
    </w:p>
    <w:p w:rsidR="00587623" w:rsidRDefault="00587623" w:rsidP="00587623">
      <w:pPr>
        <w:rPr>
          <w:sz w:val="24"/>
          <w:szCs w:val="24"/>
        </w:rPr>
      </w:pPr>
    </w:p>
    <w:p w:rsidR="001B7150" w:rsidRDefault="001B7150" w:rsidP="00587623">
      <w:pPr>
        <w:rPr>
          <w:sz w:val="24"/>
          <w:szCs w:val="24"/>
        </w:rPr>
      </w:pPr>
    </w:p>
    <w:p w:rsidR="0028482B" w:rsidRDefault="0028482B" w:rsidP="00587623">
      <w:pPr>
        <w:rPr>
          <w:sz w:val="24"/>
          <w:szCs w:val="24"/>
        </w:rPr>
      </w:pPr>
    </w:p>
    <w:p w:rsidR="0028482B" w:rsidRDefault="0028482B" w:rsidP="00587623">
      <w:pPr>
        <w:rPr>
          <w:sz w:val="24"/>
          <w:szCs w:val="24"/>
        </w:rPr>
      </w:pPr>
    </w:p>
    <w:p w:rsidR="0028482B" w:rsidRDefault="0028482B" w:rsidP="00587623">
      <w:pPr>
        <w:rPr>
          <w:sz w:val="24"/>
          <w:szCs w:val="24"/>
        </w:rPr>
      </w:pPr>
    </w:p>
    <w:p w:rsidR="0028482B" w:rsidRDefault="0028482B" w:rsidP="00587623">
      <w:pPr>
        <w:rPr>
          <w:sz w:val="24"/>
          <w:szCs w:val="24"/>
        </w:rPr>
      </w:pPr>
    </w:p>
    <w:p w:rsidR="0028482B" w:rsidRDefault="0028482B" w:rsidP="00587623">
      <w:pPr>
        <w:rPr>
          <w:sz w:val="24"/>
          <w:szCs w:val="24"/>
        </w:rPr>
      </w:pPr>
    </w:p>
    <w:p w:rsidR="0028482B" w:rsidRDefault="0028482B" w:rsidP="00587623">
      <w:pPr>
        <w:rPr>
          <w:sz w:val="24"/>
          <w:szCs w:val="24"/>
        </w:rPr>
      </w:pPr>
    </w:p>
    <w:p w:rsidR="00587623" w:rsidRDefault="001B7150" w:rsidP="0058762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7623" w:rsidRPr="00C43546">
        <w:rPr>
          <w:sz w:val="24"/>
          <w:szCs w:val="24"/>
        </w:rPr>
        <w:t>* Размер платы является конечным.</w:t>
      </w:r>
    </w:p>
    <w:p w:rsidR="00587623" w:rsidRDefault="00587623" w:rsidP="00587623">
      <w:p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7623" w:rsidRDefault="00587623" w:rsidP="00587623">
      <w:p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1B7150">
      <w:pPr>
        <w:jc w:val="center"/>
        <w:rPr>
          <w:rFonts w:ascii="Arial" w:hAnsi="Arial" w:cs="Arial"/>
          <w:color w:val="1484E6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10988"/>
      </w:tblGrid>
      <w:tr w:rsidR="0028482B" w:rsidTr="0028482B">
        <w:trPr>
          <w:trHeight w:val="510"/>
        </w:trPr>
        <w:tc>
          <w:tcPr>
            <w:tcW w:w="10988" w:type="dxa"/>
            <w:shd w:val="clear" w:color="auto" w:fill="F2F2F2" w:themeFill="background1" w:themeFillShade="F2"/>
            <w:vAlign w:val="center"/>
          </w:tcPr>
          <w:p w:rsidR="0028482B" w:rsidRPr="0028482B" w:rsidRDefault="0028482B" w:rsidP="0028482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482B">
              <w:rPr>
                <w:rFonts w:ascii="Arial" w:hAnsi="Arial" w:cs="Arial"/>
                <w:b/>
                <w:sz w:val="23"/>
                <w:szCs w:val="23"/>
              </w:rPr>
              <w:t>с 01.07.2012 - по 01.07.2013</w:t>
            </w:r>
          </w:p>
        </w:tc>
      </w:tr>
    </w:tbl>
    <w:p w:rsidR="0028482B" w:rsidRDefault="0028482B" w:rsidP="00587623">
      <w:pPr>
        <w:ind w:firstLine="698"/>
        <w:jc w:val="right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ind w:firstLine="698"/>
        <w:jc w:val="right"/>
        <w:rPr>
          <w:rStyle w:val="a3"/>
          <w:b w:val="0"/>
          <w:color w:val="000000" w:themeColor="text1"/>
        </w:rPr>
      </w:pPr>
    </w:p>
    <w:p w:rsidR="00587623" w:rsidRPr="00897F84" w:rsidRDefault="00587623" w:rsidP="00587623">
      <w:pPr>
        <w:ind w:firstLine="698"/>
        <w:jc w:val="right"/>
        <w:rPr>
          <w:b/>
          <w:color w:val="000000" w:themeColor="text1"/>
        </w:rPr>
      </w:pPr>
      <w:r w:rsidRPr="00897F84">
        <w:rPr>
          <w:rStyle w:val="a3"/>
          <w:b w:val="0"/>
          <w:color w:val="000000" w:themeColor="text1"/>
        </w:rPr>
        <w:t>ПРИЛОЖЕНИЕ 6</w:t>
      </w:r>
    </w:p>
    <w:p w:rsidR="00587623" w:rsidRDefault="00587623" w:rsidP="00587623">
      <w:pPr>
        <w:ind w:firstLine="698"/>
        <w:jc w:val="right"/>
        <w:rPr>
          <w:rStyle w:val="a3"/>
          <w:b w:val="0"/>
          <w:color w:val="000000" w:themeColor="text1"/>
        </w:rPr>
      </w:pPr>
      <w:r w:rsidRPr="00897F84">
        <w:rPr>
          <w:rStyle w:val="a3"/>
          <w:b w:val="0"/>
          <w:color w:val="000000" w:themeColor="text1"/>
        </w:rPr>
        <w:t xml:space="preserve">к </w:t>
      </w:r>
      <w:hyperlink w:anchor="sub_0" w:history="1">
        <w:r w:rsidRPr="00897F84">
          <w:rPr>
            <w:rStyle w:val="a4"/>
            <w:b w:val="0"/>
            <w:color w:val="000000" w:themeColor="text1"/>
          </w:rPr>
          <w:t>постановлению</w:t>
        </w:r>
      </w:hyperlink>
      <w:r w:rsidRPr="00897F84">
        <w:rPr>
          <w:rStyle w:val="a3"/>
          <w:b w:val="0"/>
          <w:color w:val="000000" w:themeColor="text1"/>
        </w:rPr>
        <w:t xml:space="preserve"> Управления </w:t>
      </w:r>
    </w:p>
    <w:p w:rsidR="00587623" w:rsidRPr="00897F84" w:rsidRDefault="00587623" w:rsidP="00587623">
      <w:pPr>
        <w:ind w:firstLine="698"/>
        <w:jc w:val="right"/>
        <w:rPr>
          <w:b/>
          <w:color w:val="000000" w:themeColor="text1"/>
        </w:rPr>
      </w:pPr>
      <w:r w:rsidRPr="00897F84">
        <w:rPr>
          <w:rStyle w:val="a3"/>
          <w:b w:val="0"/>
          <w:color w:val="000000" w:themeColor="text1"/>
        </w:rPr>
        <w:t>регулирования</w:t>
      </w:r>
      <w:r>
        <w:rPr>
          <w:b/>
          <w:color w:val="000000" w:themeColor="text1"/>
        </w:rPr>
        <w:t xml:space="preserve"> </w:t>
      </w:r>
      <w:r w:rsidRPr="00897F84">
        <w:rPr>
          <w:rStyle w:val="a3"/>
          <w:b w:val="0"/>
          <w:color w:val="000000" w:themeColor="text1"/>
        </w:rPr>
        <w:t>цен и тарифов</w:t>
      </w:r>
    </w:p>
    <w:p w:rsidR="00587623" w:rsidRPr="00897F84" w:rsidRDefault="00587623" w:rsidP="00587623">
      <w:pPr>
        <w:ind w:firstLine="698"/>
        <w:jc w:val="right"/>
        <w:rPr>
          <w:b/>
          <w:color w:val="000000" w:themeColor="text1"/>
          <w:u w:val="single"/>
        </w:rPr>
      </w:pPr>
      <w:r w:rsidRPr="00897F84">
        <w:rPr>
          <w:rStyle w:val="a3"/>
          <w:b w:val="0"/>
          <w:color w:val="000000" w:themeColor="text1"/>
        </w:rPr>
        <w:t xml:space="preserve">от </w:t>
      </w:r>
      <w:r w:rsidRPr="00897F84">
        <w:rPr>
          <w:rStyle w:val="a3"/>
          <w:b w:val="0"/>
          <w:color w:val="000000" w:themeColor="text1"/>
          <w:u w:val="single"/>
        </w:rPr>
        <w:t>18 июня 2012 г.</w:t>
      </w:r>
      <w:r>
        <w:rPr>
          <w:rStyle w:val="a3"/>
          <w:b w:val="0"/>
          <w:color w:val="000000" w:themeColor="text1"/>
          <w:u w:val="single"/>
        </w:rPr>
        <w:t xml:space="preserve"> </w:t>
      </w:r>
      <w:r w:rsidRPr="00897F84">
        <w:rPr>
          <w:rStyle w:val="a3"/>
          <w:b w:val="0"/>
          <w:color w:val="000000" w:themeColor="text1"/>
          <w:u w:val="single"/>
        </w:rPr>
        <w:t>№ 11</w:t>
      </w:r>
    </w:p>
    <w:p w:rsidR="00587623" w:rsidRDefault="00587623" w:rsidP="00587623"/>
    <w:p w:rsidR="0028482B" w:rsidRDefault="0028482B" w:rsidP="00587623"/>
    <w:p w:rsidR="00587623" w:rsidRDefault="00587623" w:rsidP="00587623">
      <w:pPr>
        <w:pStyle w:val="1"/>
      </w:pPr>
      <w:r>
        <w:t>Размер платы за услуги по вывозу и утилизации (захоронению)</w:t>
      </w:r>
      <w:r>
        <w:br/>
        <w:t>твердых бытовых отходов и жидких нечистот</w:t>
      </w:r>
    </w:p>
    <w:p w:rsidR="0028482B" w:rsidRPr="0028482B" w:rsidRDefault="0028482B" w:rsidP="0028482B"/>
    <w:p w:rsidR="00587623" w:rsidRDefault="00587623" w:rsidP="005876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3"/>
        <w:gridCol w:w="2673"/>
      </w:tblGrid>
      <w:tr w:rsidR="00587623" w:rsidTr="00587623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3" w:rsidRDefault="00587623" w:rsidP="00587623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623" w:rsidRDefault="00587623" w:rsidP="00587623">
            <w:pPr>
              <w:pStyle w:val="a5"/>
              <w:jc w:val="center"/>
            </w:pPr>
            <w:r>
              <w:t>Размер платы в месяц, руб./чел.</w:t>
            </w:r>
            <w:r w:rsidRPr="00897F84">
              <w:rPr>
                <w:color w:val="000000" w:themeColor="text1"/>
              </w:rPr>
              <w:t xml:space="preserve"> </w:t>
            </w:r>
            <w:hyperlink w:anchor="sub_61111" w:history="1">
              <w:r w:rsidRPr="00897F84">
                <w:rPr>
                  <w:rStyle w:val="a4"/>
                  <w:color w:val="000000" w:themeColor="text1"/>
                </w:rPr>
                <w:t>*</w:t>
              </w:r>
            </w:hyperlink>
          </w:p>
        </w:tc>
      </w:tr>
      <w:tr w:rsidR="00587623" w:rsidTr="00587623">
        <w:tc>
          <w:tcPr>
            <w:tcW w:w="73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623" w:rsidRDefault="00587623" w:rsidP="00587623">
            <w:pPr>
              <w:pStyle w:val="a5"/>
            </w:pPr>
            <w:r>
              <w:t>Твердые бытовые отходы в благоустроенном жилищном фонде, в том числе:</w:t>
            </w:r>
          </w:p>
          <w:p w:rsidR="00587623" w:rsidRDefault="00587623" w:rsidP="00587623">
            <w:pPr>
              <w:pStyle w:val="a5"/>
            </w:pPr>
            <w:r>
              <w:t xml:space="preserve">- инвестиционная надбавка </w:t>
            </w:r>
            <w:hyperlink w:anchor="sub_6222" w:history="1">
              <w:r w:rsidRPr="00897F84">
                <w:rPr>
                  <w:rStyle w:val="a4"/>
                  <w:color w:val="000000" w:themeColor="text1"/>
                </w:rPr>
                <w:t>**</w:t>
              </w:r>
            </w:hyperlink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7623" w:rsidRDefault="00587623" w:rsidP="00587623">
            <w:pPr>
              <w:pStyle w:val="a5"/>
            </w:pPr>
          </w:p>
          <w:p w:rsidR="00587623" w:rsidRDefault="00587623" w:rsidP="00587623">
            <w:pPr>
              <w:pStyle w:val="a5"/>
              <w:jc w:val="center"/>
            </w:pPr>
            <w:r>
              <w:t>40,37</w:t>
            </w:r>
          </w:p>
          <w:p w:rsidR="00587623" w:rsidRDefault="00587623" w:rsidP="00587623">
            <w:pPr>
              <w:pStyle w:val="a5"/>
              <w:jc w:val="center"/>
            </w:pPr>
            <w:r>
              <w:t>6,53</w:t>
            </w:r>
          </w:p>
        </w:tc>
      </w:tr>
      <w:tr w:rsidR="00587623" w:rsidTr="00587623">
        <w:tc>
          <w:tcPr>
            <w:tcW w:w="73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623" w:rsidRDefault="00587623" w:rsidP="00587623">
            <w:pPr>
              <w:pStyle w:val="a5"/>
            </w:pPr>
            <w:r>
              <w:t>Твердые бытовые отходы в неблагоустроенном жилищном фонде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7623" w:rsidRDefault="00587623" w:rsidP="00587623">
            <w:pPr>
              <w:pStyle w:val="a5"/>
              <w:jc w:val="center"/>
            </w:pPr>
            <w:r>
              <w:t>38,89</w:t>
            </w:r>
          </w:p>
        </w:tc>
      </w:tr>
      <w:tr w:rsidR="00587623" w:rsidTr="00587623">
        <w:trPr>
          <w:trHeight w:val="299"/>
        </w:trPr>
        <w:tc>
          <w:tcPr>
            <w:tcW w:w="73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87623" w:rsidRDefault="00587623" w:rsidP="00587623">
            <w:pPr>
              <w:pStyle w:val="a5"/>
            </w:pPr>
            <w:r>
              <w:t xml:space="preserve">Жидкие нечистоты в </w:t>
            </w:r>
            <w:proofErr w:type="gramStart"/>
            <w:r>
              <w:t>неблагоустроенном</w:t>
            </w:r>
            <w:proofErr w:type="gramEnd"/>
          </w:p>
          <w:p w:rsidR="00587623" w:rsidRDefault="00587623" w:rsidP="00587623">
            <w:pPr>
              <w:pStyle w:val="a5"/>
            </w:pPr>
            <w:r>
              <w:t xml:space="preserve">жилищном </w:t>
            </w:r>
            <w:proofErr w:type="gramStart"/>
            <w:r>
              <w:t>фонде</w:t>
            </w:r>
            <w:proofErr w:type="gramEnd"/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7623" w:rsidRDefault="00587623" w:rsidP="00587623">
            <w:pPr>
              <w:pStyle w:val="a5"/>
              <w:jc w:val="center"/>
            </w:pPr>
            <w:r>
              <w:t>17,80</w:t>
            </w:r>
          </w:p>
        </w:tc>
      </w:tr>
    </w:tbl>
    <w:p w:rsidR="00587623" w:rsidRDefault="00587623" w:rsidP="00587623"/>
    <w:p w:rsidR="00587623" w:rsidRDefault="00587623" w:rsidP="00587623">
      <w:bookmarkStart w:id="0" w:name="sub_61111"/>
      <w:r>
        <w:t>* Размер платы является конечным</w:t>
      </w:r>
    </w:p>
    <w:p w:rsidR="00587623" w:rsidRDefault="00587623" w:rsidP="00587623">
      <w:bookmarkStart w:id="1" w:name="sub_6222"/>
      <w:bookmarkEnd w:id="0"/>
      <w:r>
        <w:t>** Инвестиционную надбавку оплачивают все граждане, проживающие на территории городского округа. При этом управляющие компании, жилищные и жилищно-строительные кооперативы, товарищества собственников жилья и иные органы управления многоквартирным домом руководствуются пунктом 3 решения Думы городского округа "Город Чита" от 23.12.2010 г. N 229</w:t>
      </w:r>
    </w:p>
    <w:bookmarkEnd w:id="1"/>
    <w:p w:rsidR="00587623" w:rsidRDefault="00587623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587623" w:rsidRDefault="00587623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10988"/>
      </w:tblGrid>
      <w:tr w:rsidR="0028482B" w:rsidTr="0028482B">
        <w:trPr>
          <w:trHeight w:val="510"/>
        </w:trPr>
        <w:tc>
          <w:tcPr>
            <w:tcW w:w="10988" w:type="dxa"/>
            <w:shd w:val="clear" w:color="auto" w:fill="F2F2F2" w:themeFill="background1" w:themeFillShade="F2"/>
            <w:vAlign w:val="center"/>
          </w:tcPr>
          <w:p w:rsidR="0028482B" w:rsidRPr="0028482B" w:rsidRDefault="0028482B" w:rsidP="0028482B">
            <w:pPr>
              <w:jc w:val="center"/>
              <w:rPr>
                <w:b/>
                <w:bCs/>
                <w:sz w:val="24"/>
                <w:szCs w:val="24"/>
              </w:rPr>
            </w:pPr>
            <w:r w:rsidRPr="0028482B">
              <w:rPr>
                <w:rFonts w:ascii="Arial" w:hAnsi="Arial" w:cs="Arial"/>
                <w:b/>
                <w:sz w:val="23"/>
                <w:szCs w:val="23"/>
              </w:rPr>
              <w:t>с 01.05.2011 - по 01.07.2012</w:t>
            </w:r>
          </w:p>
        </w:tc>
      </w:tr>
    </w:tbl>
    <w:p w:rsidR="0028482B" w:rsidRDefault="0028482B" w:rsidP="00587623">
      <w:pPr>
        <w:jc w:val="center"/>
        <w:rPr>
          <w:rFonts w:ascii="Arial" w:hAnsi="Arial" w:cs="Arial"/>
          <w:color w:val="1484E6"/>
          <w:sz w:val="23"/>
          <w:szCs w:val="23"/>
        </w:rPr>
      </w:pPr>
    </w:p>
    <w:p w:rsidR="00587623" w:rsidRDefault="00587623" w:rsidP="00587623">
      <w:pPr>
        <w:rPr>
          <w:rStyle w:val="a3"/>
          <w:bCs/>
          <w:color w:val="000000" w:themeColor="text1"/>
          <w:sz w:val="24"/>
          <w:szCs w:val="24"/>
        </w:rPr>
      </w:pPr>
    </w:p>
    <w:p w:rsidR="00587623" w:rsidRPr="00FF7B5C" w:rsidRDefault="00587623" w:rsidP="00587623">
      <w:pPr>
        <w:jc w:val="right"/>
        <w:rPr>
          <w:b/>
          <w:color w:val="000000" w:themeColor="text1"/>
          <w:sz w:val="24"/>
          <w:szCs w:val="24"/>
        </w:rPr>
      </w:pPr>
      <w:r w:rsidRPr="00FF7B5C">
        <w:rPr>
          <w:rStyle w:val="a3"/>
          <w:bCs/>
          <w:color w:val="000000" w:themeColor="text1"/>
          <w:sz w:val="24"/>
          <w:szCs w:val="24"/>
        </w:rPr>
        <w:t>Приложение N 6</w:t>
      </w:r>
    </w:p>
    <w:p w:rsidR="00587623" w:rsidRPr="00FF7B5C" w:rsidRDefault="00587623" w:rsidP="00587623">
      <w:pPr>
        <w:ind w:firstLine="698"/>
        <w:jc w:val="right"/>
        <w:rPr>
          <w:b/>
          <w:color w:val="000000" w:themeColor="text1"/>
          <w:sz w:val="24"/>
          <w:szCs w:val="24"/>
        </w:rPr>
      </w:pPr>
      <w:r w:rsidRPr="00FF7B5C">
        <w:rPr>
          <w:rStyle w:val="a3"/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Pr="00FF7B5C">
          <w:rPr>
            <w:rStyle w:val="a4"/>
            <w:rFonts w:cs="Arial"/>
            <w:color w:val="000000" w:themeColor="text1"/>
            <w:sz w:val="24"/>
            <w:szCs w:val="24"/>
          </w:rPr>
          <w:t>постановлению</w:t>
        </w:r>
      </w:hyperlink>
      <w:r w:rsidRPr="00FF7B5C">
        <w:rPr>
          <w:rStyle w:val="a3"/>
          <w:bCs/>
          <w:color w:val="000000" w:themeColor="text1"/>
          <w:sz w:val="24"/>
          <w:szCs w:val="24"/>
        </w:rPr>
        <w:t xml:space="preserve"> Управления регулирования цен и</w:t>
      </w:r>
    </w:p>
    <w:p w:rsidR="00587623" w:rsidRPr="00FF7B5C" w:rsidRDefault="00587623" w:rsidP="00587623">
      <w:pPr>
        <w:ind w:firstLine="698"/>
        <w:jc w:val="right"/>
        <w:rPr>
          <w:b/>
          <w:color w:val="000000" w:themeColor="text1"/>
          <w:sz w:val="24"/>
          <w:szCs w:val="24"/>
        </w:rPr>
      </w:pPr>
      <w:r w:rsidRPr="00FF7B5C">
        <w:rPr>
          <w:rStyle w:val="a3"/>
          <w:bCs/>
          <w:color w:val="000000" w:themeColor="text1"/>
          <w:sz w:val="24"/>
          <w:szCs w:val="24"/>
        </w:rPr>
        <w:t>тарифов городского округа "Город Чита"</w:t>
      </w:r>
    </w:p>
    <w:p w:rsidR="00587623" w:rsidRPr="00FF7B5C" w:rsidRDefault="00587623" w:rsidP="00587623">
      <w:pPr>
        <w:ind w:firstLine="698"/>
        <w:jc w:val="right"/>
        <w:rPr>
          <w:b/>
          <w:color w:val="000000" w:themeColor="text1"/>
          <w:sz w:val="24"/>
          <w:szCs w:val="24"/>
        </w:rPr>
      </w:pPr>
      <w:r w:rsidRPr="00FF7B5C">
        <w:rPr>
          <w:rStyle w:val="a3"/>
          <w:bCs/>
          <w:color w:val="000000" w:themeColor="text1"/>
          <w:sz w:val="24"/>
          <w:szCs w:val="24"/>
        </w:rPr>
        <w:t>от 31 марта 2011 г. N 4</w:t>
      </w:r>
    </w:p>
    <w:p w:rsidR="00587623" w:rsidRDefault="00587623" w:rsidP="00587623">
      <w:pPr>
        <w:rPr>
          <w:color w:val="000000" w:themeColor="text1"/>
          <w:sz w:val="24"/>
          <w:szCs w:val="24"/>
        </w:rPr>
      </w:pPr>
    </w:p>
    <w:p w:rsidR="0028482B" w:rsidRPr="00FF7B5C" w:rsidRDefault="0028482B" w:rsidP="00587623">
      <w:pPr>
        <w:rPr>
          <w:color w:val="000000" w:themeColor="text1"/>
          <w:sz w:val="24"/>
          <w:szCs w:val="24"/>
        </w:rPr>
      </w:pPr>
    </w:p>
    <w:p w:rsidR="00587623" w:rsidRPr="00FF7B5C" w:rsidRDefault="00587623" w:rsidP="00587623">
      <w:pPr>
        <w:pStyle w:val="1"/>
        <w:rPr>
          <w:b w:val="0"/>
          <w:color w:val="000000" w:themeColor="text1"/>
          <w:sz w:val="24"/>
          <w:szCs w:val="24"/>
        </w:rPr>
      </w:pPr>
      <w:r w:rsidRPr="00FF7B5C">
        <w:rPr>
          <w:b w:val="0"/>
          <w:color w:val="000000" w:themeColor="text1"/>
          <w:sz w:val="24"/>
          <w:szCs w:val="24"/>
        </w:rPr>
        <w:t>Размер платы за услуги по вывозу и утилизации (захоронению)</w:t>
      </w:r>
      <w:r w:rsidRPr="00FF7B5C">
        <w:rPr>
          <w:b w:val="0"/>
          <w:color w:val="000000" w:themeColor="text1"/>
          <w:sz w:val="24"/>
          <w:szCs w:val="24"/>
        </w:rPr>
        <w:br/>
        <w:t>твердых бытовых отходов и жидких нечистот</w:t>
      </w:r>
    </w:p>
    <w:p w:rsidR="00587623" w:rsidRPr="00FF7B5C" w:rsidRDefault="00587623" w:rsidP="00587623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3"/>
        <w:gridCol w:w="4073"/>
      </w:tblGrid>
      <w:tr w:rsidR="00587623" w:rsidRPr="00FF7B5C" w:rsidTr="00587623">
        <w:trPr>
          <w:trHeight w:val="686"/>
        </w:trPr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23" w:rsidRPr="00FF7B5C" w:rsidRDefault="00587623" w:rsidP="0058762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23" w:rsidRPr="00FF7B5C" w:rsidRDefault="00587623" w:rsidP="0058762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Размер платы в месяц, руб./чел.</w:t>
            </w:r>
            <w:hyperlink w:anchor="sub_61" w:history="1">
              <w:r w:rsidRPr="00FF7B5C">
                <w:rPr>
                  <w:rStyle w:val="a4"/>
                  <w:color w:val="000000" w:themeColor="text1"/>
                  <w:sz w:val="24"/>
                  <w:szCs w:val="24"/>
                </w:rPr>
                <w:t>*</w:t>
              </w:r>
            </w:hyperlink>
          </w:p>
        </w:tc>
      </w:tr>
      <w:tr w:rsidR="00587623" w:rsidRPr="00FF7B5C" w:rsidTr="00587623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3" w:rsidRPr="00FF7B5C" w:rsidRDefault="00587623" w:rsidP="0058762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Твердые бытовые отходы в благоустроенном жилищном фонде, в том числе:</w:t>
            </w:r>
          </w:p>
          <w:p w:rsidR="00587623" w:rsidRPr="00FF7B5C" w:rsidRDefault="00587623" w:rsidP="0058762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 xml:space="preserve">- инвестиционная надбавка </w:t>
            </w:r>
            <w:hyperlink w:anchor="sub_62" w:history="1">
              <w:r w:rsidRPr="00FF7B5C">
                <w:rPr>
                  <w:rStyle w:val="a4"/>
                  <w:color w:val="000000" w:themeColor="text1"/>
                  <w:sz w:val="24"/>
                  <w:szCs w:val="24"/>
                </w:rPr>
                <w:t>**</w:t>
              </w:r>
            </w:hyperlink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23" w:rsidRPr="00FF7B5C" w:rsidRDefault="00587623" w:rsidP="00587623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587623" w:rsidRPr="00FF7B5C" w:rsidRDefault="00587623" w:rsidP="0058762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36,08</w:t>
            </w:r>
          </w:p>
          <w:p w:rsidR="00587623" w:rsidRPr="00FF7B5C" w:rsidRDefault="00587623" w:rsidP="0058762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6,53</w:t>
            </w:r>
          </w:p>
        </w:tc>
      </w:tr>
      <w:tr w:rsidR="00587623" w:rsidRPr="00FF7B5C" w:rsidTr="00587623"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3" w:rsidRPr="00FF7B5C" w:rsidRDefault="00587623" w:rsidP="0058762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Твердые бытовые отходы в неблагоустроенном жилищном фонде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23" w:rsidRPr="00FF7B5C" w:rsidRDefault="00587623" w:rsidP="0058762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34,69</w:t>
            </w:r>
          </w:p>
        </w:tc>
      </w:tr>
      <w:tr w:rsidR="00587623" w:rsidRPr="00FF7B5C" w:rsidTr="00587623">
        <w:trPr>
          <w:trHeight w:val="299"/>
        </w:trPr>
        <w:tc>
          <w:tcPr>
            <w:tcW w:w="5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3" w:rsidRPr="00FF7B5C" w:rsidRDefault="00587623" w:rsidP="0058762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 xml:space="preserve">Жидкие нечистоты в </w:t>
            </w:r>
            <w:proofErr w:type="gramStart"/>
            <w:r w:rsidRPr="00FF7B5C">
              <w:rPr>
                <w:color w:val="000000" w:themeColor="text1"/>
                <w:sz w:val="24"/>
                <w:szCs w:val="24"/>
              </w:rPr>
              <w:t>неблагоустроенном</w:t>
            </w:r>
            <w:proofErr w:type="gramEnd"/>
          </w:p>
          <w:p w:rsidR="00587623" w:rsidRPr="00FF7B5C" w:rsidRDefault="00587623" w:rsidP="0058762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 xml:space="preserve">жилищном </w:t>
            </w:r>
            <w:proofErr w:type="gramStart"/>
            <w:r w:rsidRPr="00FF7B5C">
              <w:rPr>
                <w:color w:val="000000" w:themeColor="text1"/>
                <w:sz w:val="24"/>
                <w:szCs w:val="24"/>
              </w:rPr>
              <w:t>фонде</w:t>
            </w:r>
            <w:proofErr w:type="gramEnd"/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23" w:rsidRPr="00FF7B5C" w:rsidRDefault="00587623" w:rsidP="0058762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FF7B5C">
              <w:rPr>
                <w:color w:val="000000" w:themeColor="text1"/>
                <w:sz w:val="24"/>
                <w:szCs w:val="24"/>
              </w:rPr>
              <w:t>15,90</w:t>
            </w:r>
          </w:p>
        </w:tc>
      </w:tr>
    </w:tbl>
    <w:p w:rsidR="00587623" w:rsidRPr="00FF7B5C" w:rsidRDefault="00587623" w:rsidP="00587623">
      <w:pPr>
        <w:rPr>
          <w:color w:val="000000" w:themeColor="text1"/>
          <w:sz w:val="24"/>
          <w:szCs w:val="24"/>
        </w:rPr>
      </w:pPr>
    </w:p>
    <w:p w:rsidR="00587623" w:rsidRPr="00FF7B5C" w:rsidRDefault="00587623" w:rsidP="00587623">
      <w:pPr>
        <w:rPr>
          <w:color w:val="000000" w:themeColor="text1"/>
          <w:sz w:val="24"/>
          <w:szCs w:val="24"/>
        </w:rPr>
      </w:pPr>
      <w:r w:rsidRPr="00FF7B5C">
        <w:rPr>
          <w:rStyle w:val="a3"/>
          <w:bCs/>
          <w:color w:val="000000" w:themeColor="text1"/>
          <w:sz w:val="24"/>
          <w:szCs w:val="24"/>
        </w:rPr>
        <w:t>*</w:t>
      </w:r>
      <w:r w:rsidRPr="00FF7B5C">
        <w:rPr>
          <w:color w:val="000000" w:themeColor="text1"/>
          <w:sz w:val="24"/>
          <w:szCs w:val="24"/>
        </w:rPr>
        <w:t xml:space="preserve"> Размер платы является конечным</w:t>
      </w:r>
    </w:p>
    <w:p w:rsidR="00587623" w:rsidRPr="00FF7B5C" w:rsidRDefault="00587623" w:rsidP="00587623">
      <w:pPr>
        <w:rPr>
          <w:color w:val="000000" w:themeColor="text1"/>
          <w:sz w:val="24"/>
          <w:szCs w:val="24"/>
        </w:rPr>
      </w:pPr>
      <w:r w:rsidRPr="00FF7B5C">
        <w:rPr>
          <w:rStyle w:val="a3"/>
          <w:bCs/>
          <w:color w:val="000000" w:themeColor="text1"/>
          <w:sz w:val="24"/>
          <w:szCs w:val="24"/>
        </w:rPr>
        <w:t>**</w:t>
      </w:r>
      <w:r w:rsidRPr="00FF7B5C">
        <w:rPr>
          <w:color w:val="000000" w:themeColor="text1"/>
          <w:sz w:val="24"/>
          <w:szCs w:val="24"/>
        </w:rPr>
        <w:t xml:space="preserve"> Инвестиционную надбавку оплачивают все граждане, проживающие на территории городского округа. При этом управляющие компании, жилищные и жилищно-строительные кооперативы, товарищества собственников жилья и иные органы управления многоквартирным домом руководствуются </w:t>
      </w:r>
      <w:hyperlink r:id="rId4" w:history="1">
        <w:r w:rsidRPr="00FF7B5C">
          <w:rPr>
            <w:rStyle w:val="a4"/>
            <w:rFonts w:cs="Arial"/>
            <w:color w:val="000000" w:themeColor="text1"/>
            <w:sz w:val="24"/>
            <w:szCs w:val="24"/>
          </w:rPr>
          <w:t>пунктом 3</w:t>
        </w:r>
      </w:hyperlink>
      <w:r w:rsidRPr="00FF7B5C">
        <w:rPr>
          <w:color w:val="000000" w:themeColor="text1"/>
          <w:sz w:val="24"/>
          <w:szCs w:val="24"/>
        </w:rPr>
        <w:t xml:space="preserve"> решения Думы городского округа "Город Чита" от 23.12.2010 г. N 229</w:t>
      </w:r>
    </w:p>
    <w:p w:rsidR="00587623" w:rsidRDefault="00587623"/>
    <w:sectPr w:rsidR="00587623" w:rsidSect="00587623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623"/>
    <w:rsid w:val="000232CD"/>
    <w:rsid w:val="001B7150"/>
    <w:rsid w:val="0028482B"/>
    <w:rsid w:val="00587623"/>
    <w:rsid w:val="00743B31"/>
    <w:rsid w:val="0099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D"/>
  </w:style>
  <w:style w:type="paragraph" w:styleId="1">
    <w:name w:val="heading 1"/>
    <w:basedOn w:val="a"/>
    <w:next w:val="a"/>
    <w:link w:val="10"/>
    <w:uiPriority w:val="99"/>
    <w:qFormat/>
    <w:rsid w:val="005876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23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5876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762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7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1B7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9823536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4</cp:revision>
  <dcterms:created xsi:type="dcterms:W3CDTF">2016-02-12T03:49:00Z</dcterms:created>
  <dcterms:modified xsi:type="dcterms:W3CDTF">2016-06-29T02:10:00Z</dcterms:modified>
</cp:coreProperties>
</file>